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529" w:rsidRDefault="00441529" w:rsidP="00441529">
      <w:pPr>
        <w:ind w:left="709"/>
        <w:jc w:val="center"/>
        <w:rPr>
          <w:rFonts w:ascii="Arial" w:hAnsi="Arial" w:cs="Arial"/>
          <w:b/>
          <w:bCs/>
          <w:color w:val="000000"/>
          <w:sz w:val="16"/>
          <w:szCs w:val="16"/>
        </w:rPr>
      </w:pPr>
      <w:bookmarkStart w:id="0" w:name="_GoBack"/>
      <w:bookmarkEnd w:id="0"/>
    </w:p>
    <w:p w:rsidR="00441529" w:rsidRDefault="00441529" w:rsidP="00441529">
      <w:pPr>
        <w:shd w:val="clear" w:color="auto" w:fill="FFFFFF"/>
        <w:ind w:left="708"/>
        <w:jc w:val="both"/>
        <w:rPr>
          <w:rFonts w:ascii="Berlin Sans FB" w:hAnsi="Berlin Sans FB" w:cs="Arial"/>
          <w:color w:val="0033CC"/>
          <w:sz w:val="22"/>
          <w:u w:val="single"/>
        </w:rPr>
      </w:pPr>
      <w:bookmarkStart w:id="1" w:name="NAC-DGERCGC15-0000685(599-15)"/>
      <w:bookmarkEnd w:id="1"/>
      <w:r w:rsidRPr="006B086A">
        <w:rPr>
          <w:rFonts w:ascii="Berlin Sans FB" w:hAnsi="Berlin Sans FB" w:cs="Arial"/>
          <w:color w:val="0033CC"/>
          <w:sz w:val="22"/>
          <w:u w:val="single"/>
        </w:rPr>
        <w:t xml:space="preserve">Registro Oficial No. </w:t>
      </w:r>
      <w:r w:rsidRPr="002946E3">
        <w:rPr>
          <w:rFonts w:ascii="Berlin Sans FB" w:hAnsi="Berlin Sans FB" w:cs="Arial"/>
          <w:color w:val="0033CC"/>
          <w:sz w:val="22"/>
          <w:u w:val="single"/>
        </w:rPr>
        <w:t>661,</w:t>
      </w:r>
      <w:r>
        <w:rPr>
          <w:rFonts w:ascii="Berlin Sans FB" w:hAnsi="Berlin Sans FB" w:cs="Arial"/>
          <w:color w:val="0033CC"/>
          <w:sz w:val="22"/>
          <w:u w:val="single"/>
        </w:rPr>
        <w:t xml:space="preserve"> </w:t>
      </w:r>
      <w:proofErr w:type="gramStart"/>
      <w:r w:rsidRPr="002946E3">
        <w:rPr>
          <w:rFonts w:ascii="Berlin Sans FB" w:hAnsi="Berlin Sans FB" w:cs="Arial"/>
          <w:color w:val="0033CC"/>
          <w:sz w:val="22"/>
          <w:u w:val="single"/>
        </w:rPr>
        <w:t>Lunes 04 de Enero</w:t>
      </w:r>
      <w:proofErr w:type="gramEnd"/>
      <w:r w:rsidRPr="002946E3">
        <w:rPr>
          <w:rFonts w:ascii="Berlin Sans FB" w:hAnsi="Berlin Sans FB" w:cs="Arial"/>
          <w:color w:val="0033CC"/>
          <w:sz w:val="22"/>
          <w:u w:val="single"/>
        </w:rPr>
        <w:t xml:space="preserve"> de 2016</w:t>
      </w:r>
    </w:p>
    <w:p w:rsidR="00441529" w:rsidRPr="006B086A" w:rsidRDefault="00441529" w:rsidP="00441529">
      <w:pPr>
        <w:shd w:val="clear" w:color="auto" w:fill="FFFFFF"/>
        <w:ind w:left="708"/>
        <w:jc w:val="both"/>
        <w:rPr>
          <w:rFonts w:ascii="Berlin Sans FB" w:hAnsi="Berlin Sans FB" w:cs="Arial"/>
          <w:color w:val="0033CC"/>
          <w:sz w:val="22"/>
          <w:u w:val="single"/>
        </w:rPr>
      </w:pPr>
    </w:p>
    <w:p w:rsidR="00441529" w:rsidRPr="006B086A" w:rsidRDefault="00441529" w:rsidP="00441529">
      <w:pPr>
        <w:pStyle w:val="Prrafodelista"/>
        <w:numPr>
          <w:ilvl w:val="0"/>
          <w:numId w:val="1"/>
        </w:numPr>
        <w:spacing w:after="240"/>
        <w:jc w:val="both"/>
        <w:rPr>
          <w:rFonts w:ascii="Arial" w:hAnsi="Arial" w:cs="Arial"/>
          <w:sz w:val="20"/>
        </w:rPr>
      </w:pPr>
      <w:r>
        <w:rPr>
          <w:rFonts w:ascii="Berlin Sans FB" w:eastAsia="Times New Roman" w:hAnsi="Berlin Sans FB" w:cs="Arial"/>
          <w:color w:val="003399"/>
          <w:szCs w:val="24"/>
          <w:lang w:val="es-ES" w:eastAsia="es-EC"/>
        </w:rPr>
        <w:t xml:space="preserve">Resolución </w:t>
      </w:r>
      <w:r w:rsidRPr="002946E3">
        <w:rPr>
          <w:rFonts w:ascii="Berlin Sans FB" w:eastAsia="Times New Roman" w:hAnsi="Berlin Sans FB"/>
          <w:color w:val="003399"/>
          <w:szCs w:val="24"/>
          <w:lang w:val="es-ES" w:eastAsia="es-EC"/>
        </w:rPr>
        <w:t>No. NAC-DGERCGC15-00003184</w:t>
      </w:r>
      <w:r w:rsidRPr="006B086A">
        <w:rPr>
          <w:rFonts w:ascii="Berlin Sans FB" w:eastAsia="Times New Roman" w:hAnsi="Berlin Sans FB"/>
          <w:color w:val="003399"/>
          <w:szCs w:val="24"/>
          <w:lang w:val="es-ES" w:eastAsia="es-EC"/>
        </w:rPr>
        <w:t>: </w:t>
      </w:r>
      <w:r w:rsidRPr="006B086A">
        <w:rPr>
          <w:rFonts w:ascii="Arial" w:hAnsi="Arial" w:cs="Arial"/>
          <w:sz w:val="20"/>
        </w:rPr>
        <w:t>Se</w:t>
      </w:r>
      <w:r>
        <w:rPr>
          <w:rFonts w:ascii="Arial" w:hAnsi="Arial" w:cs="Arial"/>
          <w:sz w:val="20"/>
        </w:rPr>
        <w:t xml:space="preserve"> a</w:t>
      </w:r>
      <w:r w:rsidRPr="002946E3">
        <w:rPr>
          <w:rFonts w:ascii="Arial" w:hAnsi="Arial" w:cs="Arial"/>
          <w:sz w:val="20"/>
        </w:rPr>
        <w:t>g</w:t>
      </w:r>
      <w:r>
        <w:rPr>
          <w:rFonts w:ascii="Arial" w:hAnsi="Arial" w:cs="Arial"/>
          <w:sz w:val="20"/>
        </w:rPr>
        <w:t xml:space="preserve">rega </w:t>
      </w:r>
      <w:r w:rsidRPr="002946E3">
        <w:rPr>
          <w:rFonts w:ascii="Arial" w:hAnsi="Arial" w:cs="Arial"/>
          <w:sz w:val="20"/>
        </w:rPr>
        <w:t>requisito en los comprobantes de venta utilizados por los sujetos pasivos que transfieren bienes o presten servicios públicos con subsidios</w:t>
      </w:r>
      <w:r w:rsidRPr="006B086A">
        <w:rPr>
          <w:rFonts w:ascii="Arial" w:hAnsi="Arial" w:cs="Arial"/>
          <w:sz w:val="20"/>
        </w:rPr>
        <w:t>.</w:t>
      </w:r>
    </w:p>
    <w:p w:rsidR="00441529" w:rsidRPr="002946E3" w:rsidRDefault="00441529" w:rsidP="00441529">
      <w:pPr>
        <w:shd w:val="clear" w:color="auto" w:fill="FFFFFF"/>
        <w:ind w:left="708"/>
        <w:jc w:val="center"/>
        <w:rPr>
          <w:rFonts w:ascii="Arial" w:hAnsi="Arial" w:cs="Arial"/>
          <w:color w:val="010000"/>
          <w:sz w:val="16"/>
          <w:szCs w:val="16"/>
        </w:rPr>
      </w:pPr>
      <w:r w:rsidRPr="002946E3">
        <w:rPr>
          <w:rFonts w:ascii="Arial" w:hAnsi="Arial" w:cs="Arial"/>
          <w:b/>
          <w:bCs/>
          <w:color w:val="010000"/>
          <w:sz w:val="16"/>
          <w:szCs w:val="16"/>
        </w:rPr>
        <w:t>Considerando: </w:t>
      </w:r>
      <w:r w:rsidRPr="002946E3">
        <w:rPr>
          <w:rFonts w:ascii="Arial" w:hAnsi="Arial" w:cs="Arial"/>
          <w:b/>
          <w:bCs/>
          <w:color w:val="010000"/>
          <w:sz w:val="16"/>
          <w:szCs w:val="16"/>
        </w:rPr>
        <w:br/>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artículo 83 de la Constitución de la República del Ecuador manifiesta que son deberes y responsabilidades de los habitantes del Ecuador acatar y cumplir con la Constitución, la ley y las decisiones legitimas de autoridad competente, cooperar con el Estado y la comunidad en la seguridad social y pagar los tributos establecidos por ley;</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 xml:space="preserve">Que el artículo 226 de la Carta Magna dispone que las instituciones del Estado, sus organismos, dependencias, las servidoras o servidores públicos y las personas que actúen en virtud de una potestad estatal </w:t>
      </w:r>
      <w:proofErr w:type="gramStart"/>
      <w:r w:rsidRPr="002946E3">
        <w:rPr>
          <w:rFonts w:ascii="Arial" w:hAnsi="Arial" w:cs="Arial"/>
          <w:sz w:val="16"/>
          <w:szCs w:val="16"/>
        </w:rPr>
        <w:t>ejercerán</w:t>
      </w:r>
      <w:proofErr w:type="gramEnd"/>
      <w:r w:rsidRPr="002946E3">
        <w:rPr>
          <w:rFonts w:ascii="Arial" w:hAnsi="Arial" w:cs="Arial"/>
          <w:sz w:val="16"/>
          <w:szCs w:val="16"/>
        </w:rPr>
        <w:t xml:space="preserve"> solamente las competencias y facultades que les sean atribuidas en la Constitución y la ley. Tendrán el deber de coordinar acciones para el cumplimiento de sus fines y hacer efectivo el goce y ejercicio de los derechos reconocidos en la Constitución;</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artículo 227 ibídem señala que la administración pública constituye un servicio a la colectividad que se rige por los principios de eficacia, eficiencia, calidad, jerarquía, desconcentración, descentralización, coordinación, participación, planificación, transparencia y evaluación;</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artículo 300 de la Constitución de la República del Ecuador manda que el régimen tributario se regirá por los principios de generalidad, progresividad, eficiencia, simplicidad administrativa, irretroactividad, equidad, transparencia y suficiencia recaudatoria. Se priorizarán los impuestos directos y progresivos. La política tributaria promoverá la redistribución y estimulará el empleo, la producción de bienes y servicios, y conductas ecológicas, sociales y económicas responsables;</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artículo 1 de la Ley de Creación del Servicio de Rentas Internas establece a esta institución como una entidad técnica y autónoma, con personería jurídica, de derecho público, patrimonio y fondos propios, jurisdicción nacional y sede principal en la ciudad de Quito. Su gestión está sujeta a las disposiciones de la citada ley, del Código Tributario, de la Ley de Régimen Tributario Interno y de las demás leyes y reglamentos que fueren aplicables y su autonomía concierne a los órdenes administrativo, financiero y operativo;</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de acuerdo a lo previsto en el artículo 7 del Código Tributario, en concordancia con el artículo 8 de la Ley de Creación del Servicio de Rentas Internas, es facultad del Director o Directora General expedir mediante resoluciones, circulares o disposiciones de carácter general y obligatorio, necesarias para la aplicación de las normas legales y reglamentarias;</w:t>
      </w:r>
      <w:r w:rsidRPr="002946E3">
        <w:rPr>
          <w:rFonts w:ascii="Arial" w:hAnsi="Arial" w:cs="Arial"/>
          <w:sz w:val="16"/>
          <w:szCs w:val="16"/>
        </w:rPr>
        <w:br/>
      </w:r>
      <w:r w:rsidRPr="002946E3">
        <w:rPr>
          <w:rFonts w:ascii="Arial" w:hAnsi="Arial" w:cs="Arial"/>
          <w:sz w:val="16"/>
          <w:szCs w:val="16"/>
        </w:rPr>
        <w:br/>
        <w:t>Que el artículo 20 de la Ley de Creación del Servicio de Rentas Internas establece que las entidades del sector público, las sociedades, las organizaciones privadas y las personas naturales estarán obligadas a proporcionar al Servicio de Rentas Internas toda la información que requiere para el cumplimiento de sus labores de determinación, recaudación y control tributario;</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artículo 1 del Reglamento de Comprobantes de Venta, Retención y Documentos Complementarios indica cuales son los comprobantes de venta que acreditan la transferencia de bienes o la prestación de servicios o la realización de otras transacciones gravadas con tributos.</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numeral 7 del artículo 4 del Reglamento de Comprobantes de Venta, Retención y Documentos Complementarios dispone que son documentos autorizados, siempre que se identifique, por una parte, al emisor con su razón social o denominación, completa o abreviada, o con sus nombres y apellidos y número de Registro Único de Contribuyentes; por otra, al adquirente o al sujeto al que se le efectúe la retención de impuestos mediante su número de Registro Único de Contribuyentes o cédula de identidad o pasaporte, razón social, denominación; y, además, se haga constar la fecha de emisión y por separado el valor de los tributos que correspondan aquellos que por su contenido y sistema de emisión, permitan un adecuado control por parte del Servicio de Rentas Internas y se encuentren expresamente autorizados por dicha institución;</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inciso 9 del artículo 8 ibídem manda que las sociedades y las personas naturales obligadas a llevar contabilidad emitan comprobantes de venta de manera obligatoria en todas las transacciones que realicen, independientemente del monto de las mismas;</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literal a) del artículo 17 del Reglamento de Comprobantes de Venta, Retención y Documentos Complementarios establece que los comprobantes de venta y los documentos autorizados referidos en este reglamento de manera general deberán ser emitidos y entregados en el momento en el que se efectúe el acto o se celebre el contrato que tenga por objeto la transferencia de dominio de los bienes o la prestación de los servicios;</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lastRenderedPageBreak/>
        <w:t>Que el artículo 19 del Reglamento de Comprobantes de Venta, Retención y Documentos Complementarios señala los requisitos de llenado para facturas.</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 xml:space="preserve">Que el artículo 41 ibídem dispone que los comprobantes de venta, documentos complementarios y comprobantes de retención </w:t>
      </w:r>
      <w:proofErr w:type="gramStart"/>
      <w:r w:rsidRPr="002946E3">
        <w:rPr>
          <w:rFonts w:ascii="Arial" w:hAnsi="Arial" w:cs="Arial"/>
          <w:sz w:val="16"/>
          <w:szCs w:val="16"/>
        </w:rPr>
        <w:t>deberán</w:t>
      </w:r>
      <w:proofErr w:type="gramEnd"/>
      <w:r w:rsidRPr="002946E3">
        <w:rPr>
          <w:rFonts w:ascii="Arial" w:hAnsi="Arial" w:cs="Arial"/>
          <w:sz w:val="16"/>
          <w:szCs w:val="16"/>
        </w:rPr>
        <w:t xml:space="preserve"> conservarse durante un plazo mínimo de 7 años, de acuerdo a lo establecido en el Código Tributario respecto a los plazos de prescripción;</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Decreto Ejecutivo No. 797 de fecha 2 de octubre de 2015, publicado en el Registro Oficial No. 618 de 29 de octubre de 2015, en su artículo único dispone a todos los miembros de la Administración Pública Central e Institucional que en los bienes y servicios públicos que se prestan a los ciudadanos, tales como transporte, vialidad, fluido eléctrico, combustibles, medicinas o agua, se informe al ciudadano adecuadamente sobre el monto que el Estado está subsidiando en la prestación del respectivo bien o servicio;</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 xml:space="preserve">Que la Resolución No. NAC-DGERCGC14-00790, publicada en el Tercer Suplemento del Registro Oficial No. 346 de 2 de octubre de 2014, en su numeral 6 del artículo 3 manda que para la emisión de comprobantes electrónicos, los sujetos pasivos deberán estar a lo dispuesto en la "Ficha Técnica", así como, a los requisitos adicionales de unicidad y demás especificaciones detalladas en los archivos "XML" y "XSD" que el Servicio de Rentas Internas publique en su página web institucional: </w:t>
      </w:r>
      <w:hyperlink r:id="rId6" w:history="1">
        <w:r w:rsidRPr="008F734B">
          <w:rPr>
            <w:rStyle w:val="Hipervnculo"/>
            <w:rFonts w:ascii="Arial" w:hAnsi="Arial" w:cs="Arial"/>
            <w:sz w:val="16"/>
            <w:szCs w:val="16"/>
          </w:rPr>
          <w:t>www.sri.gob.ec</w:t>
        </w:r>
      </w:hyperlink>
      <w:r w:rsidRPr="002946E3">
        <w:rPr>
          <w:rFonts w:ascii="Arial" w:hAnsi="Arial" w:cs="Arial"/>
          <w:sz w:val="16"/>
          <w:szCs w:val="16"/>
        </w:rPr>
        <w:t>;</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el principio constitucional de eficiencia implica una racionalización a favor de la incorporación tecnológica, simplificación en pro de la sencillez, eficacia y economía de trámites y modernización para fortalecer los nuevos cometidos estatales, para fortalecer la simplicidad administrativa;</w:t>
      </w:r>
    </w:p>
    <w:p w:rsidR="00441529" w:rsidRDefault="00441529" w:rsidP="00441529">
      <w:pPr>
        <w:spacing w:after="240"/>
        <w:ind w:left="708"/>
        <w:jc w:val="both"/>
        <w:rPr>
          <w:rFonts w:ascii="Arial" w:hAnsi="Arial" w:cs="Arial"/>
          <w:sz w:val="16"/>
          <w:szCs w:val="16"/>
        </w:rPr>
      </w:pPr>
      <w:r w:rsidRPr="002946E3">
        <w:rPr>
          <w:rFonts w:ascii="Arial" w:hAnsi="Arial" w:cs="Arial"/>
          <w:sz w:val="16"/>
          <w:szCs w:val="16"/>
        </w:rPr>
        <w:t>Que es deber de la Administración Tributaria, expedir las normas necesarias para facilitar a los contribuyentes el cumplimiento de sus obligaciones tributarias y deberes formales, de conformidad con la ley; y,</w:t>
      </w:r>
    </w:p>
    <w:p w:rsidR="00441529" w:rsidRPr="002946E3" w:rsidRDefault="00441529" w:rsidP="00441529">
      <w:pPr>
        <w:spacing w:after="240"/>
        <w:ind w:left="708"/>
        <w:jc w:val="both"/>
        <w:rPr>
          <w:rFonts w:ascii="Arial" w:hAnsi="Arial" w:cs="Arial"/>
          <w:sz w:val="16"/>
          <w:szCs w:val="16"/>
        </w:rPr>
      </w:pPr>
      <w:r w:rsidRPr="002946E3">
        <w:rPr>
          <w:rFonts w:ascii="Arial" w:hAnsi="Arial" w:cs="Arial"/>
          <w:sz w:val="16"/>
          <w:szCs w:val="16"/>
        </w:rPr>
        <w:t>En uso de las atribuciones que le otorga la ley,</w:t>
      </w:r>
    </w:p>
    <w:p w:rsidR="00441529" w:rsidRDefault="00441529" w:rsidP="00441529">
      <w:pPr>
        <w:ind w:left="708"/>
        <w:jc w:val="center"/>
        <w:rPr>
          <w:rFonts w:ascii="Arial" w:hAnsi="Arial" w:cs="Arial"/>
          <w:b/>
          <w:bCs/>
          <w:sz w:val="16"/>
          <w:szCs w:val="16"/>
        </w:rPr>
      </w:pPr>
      <w:r w:rsidRPr="002946E3">
        <w:rPr>
          <w:rFonts w:ascii="Arial" w:hAnsi="Arial" w:cs="Arial"/>
          <w:b/>
          <w:bCs/>
          <w:sz w:val="16"/>
          <w:szCs w:val="16"/>
        </w:rPr>
        <w:t>Resuelve:</w:t>
      </w:r>
      <w:r w:rsidRPr="002946E3">
        <w:rPr>
          <w:rFonts w:ascii="Arial" w:hAnsi="Arial" w:cs="Arial"/>
          <w:sz w:val="16"/>
          <w:szCs w:val="16"/>
        </w:rPr>
        <w:br/>
      </w:r>
      <w:r w:rsidRPr="002946E3">
        <w:rPr>
          <w:rFonts w:ascii="Arial" w:hAnsi="Arial" w:cs="Arial"/>
          <w:sz w:val="16"/>
          <w:szCs w:val="16"/>
        </w:rPr>
        <w:br/>
      </w:r>
      <w:r w:rsidRPr="002946E3">
        <w:rPr>
          <w:rFonts w:ascii="Arial" w:hAnsi="Arial" w:cs="Arial"/>
          <w:b/>
          <w:bCs/>
          <w:sz w:val="16"/>
          <w:szCs w:val="16"/>
        </w:rPr>
        <w:t>Agréguese requisito en los comprobantes de venta utilizados por los sujetos pasivos que transfieren bienes o presten servicios públicos con subsidios</w:t>
      </w:r>
    </w:p>
    <w:p w:rsidR="00441529" w:rsidRDefault="00441529" w:rsidP="00441529">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1. Ámbito de aplicación.-</w:t>
      </w:r>
      <w:r w:rsidRPr="002946E3">
        <w:rPr>
          <w:rFonts w:ascii="Arial" w:hAnsi="Arial" w:cs="Arial"/>
          <w:sz w:val="16"/>
          <w:szCs w:val="16"/>
        </w:rPr>
        <w:t>La presente resolución se aplicará a los comprobantes de venta que entreguen los contribuyentes que por su actividad y naturaleza provean bienes y presten servicios públicos subsidiados a la ciudadanía en general, tales como transporte, vialidad, fluido eléctrico, combustibles, medicinas o agua; con el solo objeto de que se informe el monto que el Estado está subsidiando en la transferencia de dichos bienes o en la prestación de tales servicios al ciudadano en calidad de consumidor.</w:t>
      </w:r>
    </w:p>
    <w:p w:rsidR="00441529" w:rsidRDefault="00441529" w:rsidP="00441529">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2. Inclusión de requisito.- </w:t>
      </w:r>
      <w:r w:rsidRPr="002946E3">
        <w:rPr>
          <w:rFonts w:ascii="Arial" w:hAnsi="Arial" w:cs="Arial"/>
          <w:sz w:val="16"/>
          <w:szCs w:val="16"/>
        </w:rPr>
        <w:t>Sin perjuicio de los requisitos de llenado establecidos en el Reglamento de Comprobantes de Venta, Retención y Documentos Complementarios, en la emisión de comprobantes físicos o electrónicos, se deberá incluir la siguiente información: Monto equivalente al subsidio.</w:t>
      </w:r>
    </w:p>
    <w:p w:rsidR="00441529" w:rsidRDefault="00441529" w:rsidP="00441529">
      <w:pPr>
        <w:ind w:left="708"/>
        <w:jc w:val="both"/>
        <w:rPr>
          <w:rFonts w:ascii="Arial" w:hAnsi="Arial" w:cs="Arial"/>
          <w:i/>
          <w:iCs/>
          <w:sz w:val="16"/>
          <w:szCs w:val="16"/>
        </w:rPr>
      </w:pPr>
      <w:r w:rsidRPr="002946E3">
        <w:rPr>
          <w:rFonts w:ascii="Arial" w:hAnsi="Arial" w:cs="Arial"/>
          <w:sz w:val="16"/>
          <w:szCs w:val="16"/>
        </w:rPr>
        <w:br/>
      </w:r>
      <w:r w:rsidRPr="002946E3">
        <w:rPr>
          <w:rFonts w:ascii="Arial" w:hAnsi="Arial" w:cs="Arial"/>
          <w:b/>
          <w:bCs/>
          <w:sz w:val="16"/>
          <w:szCs w:val="16"/>
        </w:rPr>
        <w:t>Artículo 3. Forma de llenado.- </w:t>
      </w:r>
      <w:r w:rsidRPr="002946E3">
        <w:rPr>
          <w:rFonts w:ascii="Arial" w:hAnsi="Arial" w:cs="Arial"/>
          <w:sz w:val="16"/>
          <w:szCs w:val="16"/>
        </w:rPr>
        <w:t>Dentro de la expedición de comprobantes de venta físicos asígnese un casillero en el que se registre el valor correspondiente al total del subsidio en referencia al precio original de la transacción; mientras que en la emisión de comprobantes de venta electrónicos, se deberá hacer constar el valor del subsidio tal cual se encuentre establecido para el efecto en los archivos "XML" y "XSD" que el Servicio de Rentas Internas disponga para el efecto en su respectiva página web institucional a través de la </w:t>
      </w:r>
      <w:r w:rsidRPr="002946E3">
        <w:rPr>
          <w:rFonts w:ascii="Arial" w:hAnsi="Arial" w:cs="Arial"/>
          <w:i/>
          <w:iCs/>
          <w:sz w:val="16"/>
          <w:szCs w:val="16"/>
        </w:rPr>
        <w:t>"Ficha Técnica de Comprobantes Electrónicos ".</w:t>
      </w:r>
    </w:p>
    <w:p w:rsidR="00441529" w:rsidRDefault="00441529" w:rsidP="00441529">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4. Ajustes tecnológicos.- </w:t>
      </w:r>
      <w:r w:rsidRPr="002946E3">
        <w:rPr>
          <w:rFonts w:ascii="Arial" w:hAnsi="Arial" w:cs="Arial"/>
          <w:sz w:val="16"/>
          <w:szCs w:val="16"/>
        </w:rPr>
        <w:t>La Administración Tributaria a efectos de aplicación de la presente resolución realizará los ajustes tecnológicos necesarios para la inclusión de este nuevo requisito en comprobantes electrónicos, así mismo publicará la nueva versión de la herramienta gratuita del contribuyente incluyendo dicho cambio.</w:t>
      </w:r>
    </w:p>
    <w:p w:rsidR="00441529" w:rsidRDefault="00441529" w:rsidP="00441529">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DISPOSICIÓN TRANSITORIA ÚNICA.- </w:t>
      </w:r>
      <w:r w:rsidRPr="002946E3">
        <w:rPr>
          <w:rFonts w:ascii="Arial" w:hAnsi="Arial" w:cs="Arial"/>
          <w:sz w:val="16"/>
          <w:szCs w:val="16"/>
        </w:rPr>
        <w:t>Los sujetos pasivos identificados en el artículo 1 de la presente resolución que utilicen sistemas de facturación electrónica, con desarrollo propio o de terceros, tendrán un plazo de 90 días para la inclusión de este nuevo requisito en sus facturas electrónicas.</w:t>
      </w:r>
    </w:p>
    <w:p w:rsidR="008E49C1" w:rsidRDefault="00441529"/>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5059_"/>
      </v:shape>
    </w:pict>
  </w:numPicBullet>
  <w:abstractNum w:abstractNumId="0">
    <w:nsid w:val="540B65AA"/>
    <w:multiLevelType w:val="hybridMultilevel"/>
    <w:tmpl w:val="59D4AC20"/>
    <w:lvl w:ilvl="0" w:tplc="6EDA0EC2">
      <w:start w:val="1"/>
      <w:numFmt w:val="bullet"/>
      <w:lvlText w:val=""/>
      <w:lvlPicBulletId w:val="0"/>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529"/>
    <w:rsid w:val="00323ADC"/>
    <w:rsid w:val="00441529"/>
    <w:rsid w:val="0064604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52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441529"/>
    <w:rPr>
      <w:color w:val="0000FF"/>
      <w:u w:val="single"/>
    </w:rPr>
  </w:style>
  <w:style w:type="paragraph" w:styleId="Prrafodelista">
    <w:name w:val="List Paragraph"/>
    <w:basedOn w:val="Normal"/>
    <w:uiPriority w:val="34"/>
    <w:qFormat/>
    <w:rsid w:val="00441529"/>
    <w:pPr>
      <w:spacing w:after="200" w:line="276" w:lineRule="auto"/>
      <w:ind w:left="720"/>
      <w:contextualSpacing/>
    </w:pPr>
    <w:rPr>
      <w:rFonts w:ascii="Calibri" w:eastAsia="Calibri" w:hAnsi="Calibri"/>
      <w:sz w:val="22"/>
      <w:szCs w:val="22"/>
      <w:lang w:val="es-EC"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52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441529"/>
    <w:rPr>
      <w:color w:val="0000FF"/>
      <w:u w:val="single"/>
    </w:rPr>
  </w:style>
  <w:style w:type="paragraph" w:styleId="Prrafodelista">
    <w:name w:val="List Paragraph"/>
    <w:basedOn w:val="Normal"/>
    <w:uiPriority w:val="34"/>
    <w:qFormat/>
    <w:rsid w:val="00441529"/>
    <w:pPr>
      <w:spacing w:after="200" w:line="276" w:lineRule="auto"/>
      <w:ind w:left="720"/>
      <w:contextualSpacing/>
    </w:pPr>
    <w:rPr>
      <w:rFonts w:ascii="Calibri" w:eastAsia="Calibri" w:hAnsi="Calibri"/>
      <w:sz w:val="22"/>
      <w:szCs w:val="22"/>
      <w:lang w:val="es-EC"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ri.gob.ec"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1409</Words>
  <Characters>7755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2016-01-05T18:32:00Z</dcterms:created>
  <dcterms:modified xsi:type="dcterms:W3CDTF">2016-01-05T18:37:00Z</dcterms:modified>
</cp:coreProperties>
</file>